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  <w:t>年学院(系)本科教学状态评估专家考察要点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</w:rPr>
      </w:pPr>
    </w:p>
    <w:tbl>
      <w:tblPr>
        <w:tblStyle w:val="5"/>
        <w:tblW w:w="8912" w:type="dxa"/>
        <w:jc w:val="center"/>
        <w:tblInd w:w="-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943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考察要点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领导对本科教学的重视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生师比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本科生与专业课教师比例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教学经费投入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参考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2017年预算数据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基层教学组织建设及活动开展情况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课程开设及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课堂教学情况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教授授课情况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专业课小班讨论情况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全英文、双语课程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学生双向交流情况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应届毕业生升学（出国）、就业率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参与教学改革及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发表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教学研究论文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教师教学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学生获奖情况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943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上年度评估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整改情况</w:t>
            </w:r>
          </w:p>
        </w:tc>
        <w:tc>
          <w:tcPr>
            <w:tcW w:w="2496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数据统计时间与教学基本状态数据库填报数据时间节点一致，即基本情况、教师学生获奖等采用时点数，截止201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年9月30日；教学经费采用自然年，201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年1月1日-12月31日；教授授课、小班讨论等采用学年数据，201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年9月1日-201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年8月31日。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6024"/>
    <w:rsid w:val="59FF6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2017-06-19T06:48:00Z</dcterms:created>
  <dc:creator>dell</dc:creator>
  <cp:lastModifiedBy>dell</cp:lastModifiedBy>
  <dcterms:modified xsi:type="dcterms:W3CDTF">2017-06-19T06:49:14Z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